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93" w:rsidRPr="006D7F9B" w:rsidRDefault="009E5293" w:rsidP="009E5293">
      <w:pPr>
        <w:jc w:val="center"/>
        <w:rPr>
          <w:rFonts w:ascii="Cambria" w:hAnsi="Cambria" w:cstheme="majorHAnsi"/>
          <w:b/>
          <w:color w:val="auto"/>
          <w:sz w:val="24"/>
          <w:szCs w:val="20"/>
        </w:rPr>
      </w:pPr>
      <w:r w:rsidRPr="006D7F9B">
        <w:rPr>
          <w:rFonts w:ascii="Cambria" w:hAnsi="Cambria" w:cstheme="majorHAnsi"/>
          <w:b/>
          <w:color w:val="auto"/>
          <w:sz w:val="24"/>
          <w:szCs w:val="20"/>
        </w:rPr>
        <w:t xml:space="preserve">GLOBAL EXPRESSION OF INTEREST FOR PROVISION OF VARIOUS EQUIPMENT, CHEMICALS, SOFTWARE AND SERVICES RELATED TO WELL INTERVENTION /COMPLETION/ARTIFICIAL LIFT/ FRAC/ PRODUCTION TECHNOLOGY/ WORK OVER REQUIREMENTS FOR RJ-ON-90/1, RAVVA AND CB-OS/2 BLOCK </w:t>
      </w:r>
    </w:p>
    <w:p w:rsidR="009E5293" w:rsidRPr="006D7F9B" w:rsidRDefault="009E5293" w:rsidP="009E5293">
      <w:pPr>
        <w:tabs>
          <w:tab w:val="left" w:pos="8535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ab/>
      </w:r>
    </w:p>
    <w:p w:rsidR="009E5293" w:rsidRPr="006D7F9B" w:rsidRDefault="009E5293" w:rsidP="009E5293">
      <w:pPr>
        <w:autoSpaceDE w:val="0"/>
        <w:autoSpaceDN w:val="0"/>
        <w:adjustRightInd w:val="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Cairn Oil and Gas (the “Company”), a vertical of Vedanta Limited is the Operator of the Onshore </w:t>
      </w:r>
      <w:r w:rsidRPr="006D7F9B">
        <w:rPr>
          <w:rFonts w:ascii="Cambria" w:hAnsi="Cambria" w:cstheme="majorHAnsi"/>
          <w:b/>
          <w:color w:val="auto"/>
          <w:szCs w:val="20"/>
        </w:rPr>
        <w:t>RJ-ON-90/1</w:t>
      </w:r>
      <w:r w:rsidRPr="006D7F9B">
        <w:rPr>
          <w:rFonts w:ascii="Cambria" w:hAnsi="Cambria" w:cstheme="majorHAnsi"/>
          <w:color w:val="auto"/>
          <w:szCs w:val="20"/>
        </w:rPr>
        <w:t xml:space="preserve"> block (located in Barmer District of Rajasthan, India), Offshore </w:t>
      </w:r>
      <w:r w:rsidRPr="006D7F9B">
        <w:rPr>
          <w:rFonts w:ascii="Cambria" w:hAnsi="Cambria" w:cstheme="majorHAnsi"/>
          <w:b/>
          <w:color w:val="auto"/>
          <w:szCs w:val="20"/>
        </w:rPr>
        <w:t>CB-OS/2</w:t>
      </w:r>
      <w:r w:rsidRPr="006D7F9B">
        <w:rPr>
          <w:rFonts w:ascii="Cambria" w:hAnsi="Cambria" w:cstheme="majorHAnsi"/>
          <w:color w:val="auto"/>
          <w:szCs w:val="20"/>
        </w:rPr>
        <w:t xml:space="preserve"> (located on the West Coast of India) and Offshore </w:t>
      </w:r>
      <w:r w:rsidRPr="006D7F9B">
        <w:rPr>
          <w:rFonts w:ascii="Cambria" w:hAnsi="Cambria" w:cstheme="majorHAnsi"/>
          <w:b/>
          <w:color w:val="auto"/>
          <w:szCs w:val="20"/>
        </w:rPr>
        <w:t>Ravva</w:t>
      </w:r>
      <w:r w:rsidRPr="006D7F9B">
        <w:rPr>
          <w:rFonts w:ascii="Cambria" w:hAnsi="Cambria" w:cstheme="majorHAnsi"/>
          <w:color w:val="auto"/>
          <w:szCs w:val="20"/>
        </w:rPr>
        <w:t xml:space="preserve"> Block (located on the East Coat of India) on behalf of itself and its Joint Venture (JV) partners. 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Cairn Oil &amp; Gas invites interested suppliers with proven capabilities and demonstrated performance in similar requirements to express their interest in pre-qualification to participate in the International Competitive Bidding (ICB) Process for the services/supplies listed below: 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tbl>
      <w:tblPr>
        <w:tblW w:w="98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383"/>
        <w:gridCol w:w="2767"/>
        <w:gridCol w:w="5017"/>
      </w:tblGrid>
      <w:tr w:rsidR="009E5293" w:rsidRPr="006D7F9B" w:rsidTr="00187AA2">
        <w:trPr>
          <w:trHeight w:val="300"/>
        </w:trPr>
        <w:tc>
          <w:tcPr>
            <w:tcW w:w="702" w:type="dxa"/>
            <w:shd w:val="clear" w:color="auto" w:fill="F2F2F2"/>
          </w:tcPr>
          <w:p w:rsidR="009E5293" w:rsidRPr="006D7F9B" w:rsidRDefault="009E5293" w:rsidP="00187AA2">
            <w:pPr>
              <w:ind w:left="-93"/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Sl. No.</w:t>
            </w:r>
          </w:p>
        </w:tc>
        <w:tc>
          <w:tcPr>
            <w:tcW w:w="1383" w:type="dxa"/>
            <w:shd w:val="clear" w:color="auto" w:fill="F2F2F2"/>
            <w:noWrap/>
            <w:vAlign w:val="center"/>
          </w:tcPr>
          <w:p w:rsidR="009E5293" w:rsidRPr="006D7F9B" w:rsidRDefault="009E5293" w:rsidP="00187AA2">
            <w:pPr>
              <w:ind w:left="-93"/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Category</w:t>
            </w:r>
          </w:p>
        </w:tc>
        <w:tc>
          <w:tcPr>
            <w:tcW w:w="2767" w:type="dxa"/>
            <w:shd w:val="clear" w:color="auto" w:fill="F2F2F2"/>
            <w:noWrap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Services</w:t>
            </w:r>
          </w:p>
        </w:tc>
        <w:tc>
          <w:tcPr>
            <w:tcW w:w="5017" w:type="dxa"/>
            <w:shd w:val="clear" w:color="auto" w:fill="F2F2F2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Description</w:t>
            </w:r>
          </w:p>
        </w:tc>
      </w:tr>
      <w:tr w:rsidR="009E5293" w:rsidRPr="006D7F9B" w:rsidTr="00187AA2">
        <w:trPr>
          <w:trHeight w:val="755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Artificial Lift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Electrical Submersible Pumps (ESP) - Supply &amp; Service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Scope includes provision of supply of ESP systems and services associated with installation &amp; maintenance of the same.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Fluid Level Analyser (FLA) &amp; Dynamometer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different types of fluid level analysers &amp; dynamometers based on the field application for monitoring downhole parameters in artificially lifted wells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Gas Lift valves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different types of gas lift valves for conducting gas lift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Insert Progressive Cavity Pumps (IPCP)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Scope includes provision of Insert PCP systems and services associated with installation &amp; maintenance of the same.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Jet Pump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The scope includes the provision of Reverse circulation Jet Pumps &amp; associated spares.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6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Progressive Cavity Pump (PCP) - Supply &amp; Service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Scope includes provision of Progressive Cavity Pump (PCP) systems (downhole &amp; surface) and services associated with installation &amp; maintenance of the same.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7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Rod Running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rod running rig equipment and services for troubleshooting the Sucker Rod Pumps (SRP) &amp; Progressive Cavity Pump (PCP) wells.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8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Sucker Rod Pumps (SRP) - Conventional Surface Equipment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Scope includes provision of surface systems for conventional SRP systems in Rajasthan assets.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Sucker Rod Pumps (SRP) - Downhole Equipment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Scope includes provision of downhole system for both conventional (Horse Head) and (LRP/HRP) unconventional SRP systems.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10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Sucker Rod Pumps (SRP) - Maintenance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services for installation, maintenance and dismantling of the conventional &amp; unconventional SRP systems.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szCs w:val="20"/>
              </w:rPr>
              <w:lastRenderedPageBreak/>
              <w:br w:type="page"/>
            </w: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11</w:t>
            </w:r>
          </w:p>
        </w:tc>
        <w:tc>
          <w:tcPr>
            <w:tcW w:w="138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Artificial Lift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Sucker Rod Pumps (SRP) - Unconventional Surface Equipment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With an objective to minimize the footprint with rod pumping system, application of Linear Rod Pump (LRP) &amp; Hydraulic Rod Pump (HRP) has been identified in some of the Rajasthan fields. Scope includes provision of unconventional surface systems.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12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Standalone Jet Pump System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The scope includes the provision of Jet Pumps along with surface equipment to handle, separate and re-circulate the power fluid into the well.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13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Sucker &amp; Drive Rods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the different types of rods for rod-driven Progressive Cavity Pumps (PCP) &amp; Sucker Rod Pumps (SRP)   operations.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14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Surface equipment for Progressive Cavity Pumps (PCP) -Supply and Services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supply and associated services for the surface equipment (including but not limited to VFD, motor, cables, etc.) required for operating downhole Progressive Cavity Pumps (PCP).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15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Completion</w:t>
            </w: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Completion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Blow-Out Preventer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blow out preventer of various sizes.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16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Chokes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Choke Valves for Electrical Submersible Pumps (ESP), Progressive Cavity Pumps (PCP), Sucker Rod Pumps (SRP), Jet pump wells, self-flow wells and water injection wells with all associated equipment and accessories and service tools required for the choke valves.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17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Coiled Tubing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coil tubing (1”, 1.5” &amp; 1.75”) deployed in wells of Rajasthan Asset.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18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Completion Equipment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Provision of tangibles and services for completion equipment. Tangibles include but not limited to completion equipment like packers, SSDs, fluid loss, Valves, flow control equipment etc. Tangibles also include permanent </w:t>
            </w: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Down hole gauges, chemical injection lines, clamps etc. Services include a minimum of WBCO services, equipment redressing, pressure testing, running in and pull out of hole.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19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Completion Fluids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Supply and associated services for the chemicals to prevent and inhibit specific formation damages related to scales, wax, asphaltenes, etc., including their specific placements and diversion techniques.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20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Heater String Spooler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heater string spooler and associated manpower services for running and pulling out Coil tubing (Heater string) deployed on completion/ workover rig.</w:t>
            </w:r>
          </w:p>
        </w:tc>
      </w:tr>
      <w:tr w:rsidR="009E5293" w:rsidRPr="006D7F9B" w:rsidTr="00187AA2">
        <w:trPr>
          <w:trHeight w:val="413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21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Lined Tubing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High-Density Polyethylene (HDPE) lined tubing for rod lifted wells.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22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Oil Country Tubular Goods (OCTG)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Provision of Oil Country Tubular Goods – casings, tubings, pup joints, crossovers, etc.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szCs w:val="20"/>
              </w:rPr>
              <w:br w:type="page"/>
            </w: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23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Profile Plug &amp; Prongs – Supply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profile plugs as per completion requirement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24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Thread Cutting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thread cutting services as per the Oil &amp; Gas standards for tubing and casings to be deployed in wells of Rajasthan asset.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25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Tubing Running Services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running tubing and other jewellery during completion &amp; workover operations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26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Workover Fishing Tools –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services for conducting fishing during workover operations.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27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Frac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Hydraulic frac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Frac Services on Rental basis for conducting Hydraulic Fracturing of different types, including but not limited to Conventional Cross-linking fracturing, Linear Gel / Slick water fracturing, fracturing in tight oil &amp; tight gas using cross-linked gel etc. with all the equipment for the fracturing. Provision to include Chemical Tracer, Hot Oilers unit, Well head Isolation tool.</w:t>
            </w:r>
          </w:p>
        </w:tc>
      </w:tr>
      <w:tr w:rsidR="009E5293" w:rsidRPr="006D7F9B" w:rsidTr="00187AA2">
        <w:trPr>
          <w:trHeight w:val="458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28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Proppant –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supplying proppant for hydraulic fracturing.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29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Sand Management Services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equipment, spares, chemicals, services for Sand Control including but not limited to Frac Pack, Gravel Pack, Standalone screens, consolidation, and sandstone acidizing.</w:t>
            </w:r>
          </w:p>
        </w:tc>
      </w:tr>
      <w:tr w:rsidR="009E5293" w:rsidRPr="006D7F9B" w:rsidTr="00187AA2">
        <w:trPr>
          <w:trHeight w:val="467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30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Production Technology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Boronized Tubing -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Boronized tubing.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31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Production Technology Studies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laboratory studies and testing services including fluid analysis (water, oil and other chemicals), core-studies, formation damage analysis, material testing and failure analysis services.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32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Petroleum Engineering Data Analytics &amp; Automation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Provision of software capable of analysing data acquired from wells, providing automation of well control services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33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Petroleum Engineering Software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Provision of software including but not limited to Corrosion Prediction and Material Selection Software; Scale Prediction Software etc.,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34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Well Services</w:t>
            </w: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Well Services</w:t>
            </w: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  <w:lang w:val="en-US"/>
              </w:rPr>
              <w:t>Well Services</w:t>
            </w: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Bridge Plugs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Down hole gauges, chemical injection lines, clamps etc. Services include a minimum of WBCO services, equipment redressing, pressure testing, running in and pull out of hole.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35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Caravan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services related with availability of the caravan with all the provisions to suit the operation in desert type environment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36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Cement Dumping &amp; Squeeze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Supply of cement (with additives and accessories) and services for cement dumping/ squeezing jobs through coil tubing.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37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Chemical solution for Water Shut-off jobs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Services and Supply of chemicals for shutting water producing zones in injectors through chemical means such as RPM, VES, cross-linkers with delayed breakers, Ball diverters,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38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Chemicals for stimulation, workover &amp; fracturing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Supply of chemicals to prevent and inhibit specific formation damages related to scales, wax, asphaltenes, etc., including their specific placements and diversion techniques.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39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Coiled Tubing Units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Coil Tubing Services on Rental basis for conducting different Coil Tubing conveyed Interventions using Coil Tubing Units &amp; tools for Well-Flowback, zonal/selective stimulations, cleanouts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40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bookmarkStart w:id="0" w:name="_Hlk17189017"/>
            <w:r w:rsidRPr="006D7F9B">
              <w:rPr>
                <w:rFonts w:ascii="Cambria" w:hAnsi="Cambria" w:cstheme="majorHAnsi"/>
                <w:color w:val="auto"/>
                <w:szCs w:val="20"/>
              </w:rPr>
              <w:t>Completion &amp; Well Services Supervisor</w:t>
            </w:r>
            <w:bookmarkEnd w:id="0"/>
            <w:r w:rsidRPr="006D7F9B">
              <w:rPr>
                <w:rFonts w:ascii="Cambria" w:hAnsi="Cambria" w:cstheme="majorHAnsi"/>
                <w:color w:val="auto"/>
                <w:szCs w:val="20"/>
              </w:rPr>
              <w:tab/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Manpower for supervising Completion and Well Services activities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41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Down Hole Video Camera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real-time and memory based downhole camera (conveyed on Eline/Slickline/Coil Tubing Unit) for providing/recording downhole images/videos in water/gas/oil based wellbore conditions.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42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Eline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multiple wireline units to support multiple rig / rig-less operations including but not limited to perforations, Production Logging Tools (PLT), RST, bridge plug setting, cement dumping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43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Flowback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multiple flowback packages to support rig / rig-less operations including but not limited to Flowbacks, well testing, Well clean-up post completion , or Well activation post stimulation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44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Heating Unit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Direct/ Indirect Bath Heaters for heating the water and crude based fluids prior to transfer into transport tanks or Production header,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45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Inflatable Plugs – Coiled Tubing Conveyed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Inflatable Plugs on Purchase basis and Personnel on Service basis for through tubing intervention conveyed using Coiled Tubing to achieve zonal isolation.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46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Inflatable Plugs - Eline Conveyed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Inflatable Plugs on Purchase basis and Personnel on Service basis for through tubing intervention conveyed using E-line to achieve zonal isolation.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47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vertAlign w:val="superscript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Isolation Patch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procurement of Isolation Patch and Supply of Running/Retrieving tools and Personnel for sealing/isolating leaks, faulty SSD or GLM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48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Noise logging tool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Sonic based logging tool for detecting any flow in formation matrix, fractures (natural &amp; hydraulically fractured), behind casing,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49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Pumping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multiple Pumping packages to support multiple rig / rig-less operations including but not limited to High rate Well stimulations with acids , aromatic solvents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50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Scrapping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mono-cable winch unit for the purpose of scrapping the wax &amp; scale deposition in the completion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51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Sea Fastening and Removal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Provision of Sea Fastening and Removal Services of Coil Tubing and Pumping Equipment on board PSV/barge vessel 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52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Slickline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multiple slick line units to support multiple rig / rig-less operations including but not limited to SSD manipulations , Gauge surveys , setting / retrieval of downhole barriers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53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Slickline conveyed NPR plugs – Supply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Plugs on Purchase basis for through tubing intervention using Slick line or Eline as mode of conveyance, to achieve zonal isolation.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54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Supply of Soap Stick, Foam Stick, Gas Stick, Acid sticks and its associated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 xml:space="preserve">Various types of sticks for stimulation and activation of wells   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55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Surface Well Testing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multiple Surface Well test packages to support rig / rig-less operations including but not limited to Flowbacks, Well clean-up post completion , or Well activation post stimulation etc.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56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Thru-tubing fishing &amp; milling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all the tools &amp; associated services for conducting through-tubing fishing &amp; milling operations.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57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Thru-Tubing Straddle Packer - Supply &amp;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inflatable straddle packer services to perform selective stimulation jobs.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58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Tractor &amp; Stroker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Tractor related services are required to convey E-Line downhole tools in the highly deviated or Horizontal wells where gravitational force is insufficient to convey the tool string to desired depth.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59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Tubing Conveyed Perforation &amp; associated services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Requirement of  Tubing Conveyed Perforating, Coil tubing conveyed Perforating for cased and perforated wells of Rajasthan asset</w:t>
            </w:r>
          </w:p>
        </w:tc>
      </w:tr>
      <w:tr w:rsidR="009E5293" w:rsidRPr="006D7F9B" w:rsidTr="00187AA2">
        <w:trPr>
          <w:trHeight w:val="602"/>
        </w:trPr>
        <w:tc>
          <w:tcPr>
            <w:tcW w:w="702" w:type="dxa"/>
            <w:shd w:val="clear" w:color="auto" w:fill="auto"/>
            <w:vAlign w:val="center"/>
          </w:tcPr>
          <w:p w:rsidR="009E5293" w:rsidRPr="006D7F9B" w:rsidRDefault="009E5293" w:rsidP="00187AA2">
            <w:pPr>
              <w:jc w:val="center"/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</w:pPr>
            <w:r w:rsidRPr="006D7F9B">
              <w:rPr>
                <w:rFonts w:ascii="Cambria" w:hAnsi="Cambria" w:cstheme="majorHAnsi"/>
                <w:b/>
                <w:color w:val="auto"/>
                <w:szCs w:val="20"/>
                <w:lang w:val="en-US"/>
              </w:rPr>
              <w:t>60</w:t>
            </w:r>
          </w:p>
        </w:tc>
        <w:tc>
          <w:tcPr>
            <w:tcW w:w="1383" w:type="dxa"/>
            <w:vMerge/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jc w:val="both"/>
              <w:rPr>
                <w:rFonts w:ascii="Cambria" w:hAnsi="Cambria" w:cstheme="majorHAnsi"/>
                <w:color w:val="auto"/>
                <w:szCs w:val="20"/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Wellhead Maintenance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93" w:rsidRPr="006D7F9B" w:rsidRDefault="009E5293" w:rsidP="00187AA2">
            <w:pPr>
              <w:rPr>
                <w:rFonts w:ascii="Cambria" w:hAnsi="Cambria" w:cstheme="majorHAnsi"/>
                <w:color w:val="auto"/>
                <w:szCs w:val="20"/>
              </w:rPr>
            </w:pPr>
            <w:r w:rsidRPr="006D7F9B">
              <w:rPr>
                <w:rFonts w:ascii="Cambria" w:hAnsi="Cambria" w:cstheme="majorHAnsi"/>
                <w:color w:val="auto"/>
                <w:szCs w:val="20"/>
              </w:rPr>
              <w:t>Provision of Well head maintenance services to carry out jobs like bleed and lube etc.</w:t>
            </w:r>
          </w:p>
        </w:tc>
      </w:tr>
    </w:tbl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The evaluation for each service/supply shall be done independently.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In view of the nature of the scope, only those suppliers/ Contractors having proven track records in executing similar jobs and meeting the following criteria should respond to this notice: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6D7F9B" w:rsidRDefault="006D7F9B" w:rsidP="009E5293">
      <w:pPr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b/>
          <w:color w:val="auto"/>
          <w:szCs w:val="20"/>
          <w:lang w:bidi="hi"/>
        </w:rPr>
      </w:pPr>
    </w:p>
    <w:p w:rsidR="009E5293" w:rsidRPr="006D7F9B" w:rsidRDefault="009E5293" w:rsidP="009E5293">
      <w:pPr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  <w:lang w:bidi="hi"/>
        </w:rPr>
      </w:pPr>
      <w:r w:rsidRPr="006D7F9B">
        <w:rPr>
          <w:rFonts w:ascii="Cambria" w:hAnsi="Cambria" w:cstheme="majorHAnsi"/>
          <w:b/>
          <w:color w:val="auto"/>
          <w:szCs w:val="20"/>
          <w:lang w:bidi="hi"/>
        </w:rPr>
        <w:t>Financial Criteria</w:t>
      </w:r>
      <w:r w:rsidRPr="006D7F9B">
        <w:rPr>
          <w:rFonts w:ascii="Cambria" w:hAnsi="Cambria" w:cstheme="majorHAnsi"/>
          <w:color w:val="auto"/>
          <w:szCs w:val="20"/>
          <w:lang w:bidi="hi"/>
        </w:rPr>
        <w:t xml:space="preserve">:  </w:t>
      </w:r>
    </w:p>
    <w:p w:rsidR="009E5293" w:rsidRPr="006D7F9B" w:rsidRDefault="009E5293" w:rsidP="009E5293">
      <w:pPr>
        <w:tabs>
          <w:tab w:val="left" w:pos="1701"/>
          <w:tab w:val="right" w:pos="9185"/>
          <w:tab w:val="right" w:pos="9214"/>
        </w:tabs>
        <w:ind w:left="1440"/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2"/>
        </w:numPr>
        <w:tabs>
          <w:tab w:val="left" w:pos="1701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 xml:space="preserve">Turnover in each of the immediately preceding two financial years should be equal to or more than the estimated average annual contract value. </w:t>
      </w:r>
    </w:p>
    <w:p w:rsidR="009E5293" w:rsidRPr="006D7F9B" w:rsidRDefault="009E5293" w:rsidP="009E5293">
      <w:pPr>
        <w:pStyle w:val="ListParagraph"/>
        <w:numPr>
          <w:ilvl w:val="0"/>
          <w:numId w:val="12"/>
        </w:numPr>
        <w:tabs>
          <w:tab w:val="left" w:pos="1701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Positive net worth in each of the immediately preceding two financial years.</w:t>
      </w:r>
    </w:p>
    <w:p w:rsidR="009E5293" w:rsidRPr="006D7F9B" w:rsidRDefault="009E5293" w:rsidP="009E5293">
      <w:pPr>
        <w:pStyle w:val="ListParagraph"/>
        <w:numPr>
          <w:ilvl w:val="0"/>
          <w:numId w:val="12"/>
        </w:numPr>
        <w:tabs>
          <w:tab w:val="left" w:pos="1701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Liquidity ratio shall not be less than 1.00 in each of the preceding Two (02) financial years.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Also, note – 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4"/>
        </w:numPr>
        <w:tabs>
          <w:tab w:val="left" w:pos="1418"/>
          <w:tab w:val="left" w:pos="1701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 xml:space="preserve">Normally standalone financials of the bidding entity only will be considered. However, consolidated financials at the bidding entity level, if available, can also be submitted. Parent/holding company financials can be submitted and considered, subject to submission of financial guarantee and commitment letter, as described under (ii).  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5"/>
        </w:numPr>
        <w:tabs>
          <w:tab w:val="right" w:pos="9185"/>
          <w:tab w:val="right" w:pos="9214"/>
        </w:tabs>
        <w:spacing w:after="0" w:line="240" w:lineRule="auto"/>
        <w:ind w:hanging="36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Where the bidding entity is unable to meet the Financial Evaluation Criteria, Parent/Holding Company Audited Financials can be considered, subject to:</w:t>
      </w:r>
    </w:p>
    <w:p w:rsidR="009E5293" w:rsidRPr="006D7F9B" w:rsidRDefault="009E5293" w:rsidP="009E5293">
      <w:pPr>
        <w:pStyle w:val="ListParagraph"/>
        <w:tabs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a) Submission of Financial guarantee in the form of 10% Bank guarantee of contract value. 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b) Commitment Letter from Parent/Company to provide financial support to the bidding entity.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5"/>
        </w:numPr>
        <w:tabs>
          <w:tab w:val="right" w:pos="9185"/>
          <w:tab w:val="right" w:pos="9214"/>
        </w:tabs>
        <w:spacing w:after="0" w:line="240" w:lineRule="auto"/>
        <w:ind w:hanging="36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Evaluation will be done only on the basis of the published annual reports / audited financials containing Auditor’s report, Balance sheet, Profit &amp; Loss a/c and Notes to Accounts.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5"/>
        </w:numPr>
        <w:tabs>
          <w:tab w:val="right" w:pos="9185"/>
          <w:tab w:val="right" w:pos="9214"/>
        </w:tabs>
        <w:spacing w:after="0" w:line="240" w:lineRule="auto"/>
        <w:ind w:hanging="36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In case of unaudited statements (if there are no audit requirements for auditing of financials as per the local law), the financials shall be accompanied by a certificate from a Certified Accountant. Certificate should also mention the fact that there is no requirement of audit of the financials as per the local law.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b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All qualifications and exceptions brought out in Auditor’s report and Notes to Accounts would be factored in while undertaking financial evaluation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b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b/>
          <w:color w:val="auto"/>
          <w:szCs w:val="20"/>
        </w:rPr>
      </w:pP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b/>
          <w:color w:val="auto"/>
          <w:szCs w:val="20"/>
        </w:rPr>
        <w:t>Technical Criteria</w:t>
      </w:r>
      <w:r w:rsidRPr="006D7F9B">
        <w:rPr>
          <w:rFonts w:ascii="Cambria" w:hAnsi="Cambria" w:cstheme="majorHAnsi"/>
          <w:color w:val="auto"/>
          <w:szCs w:val="20"/>
        </w:rPr>
        <w:t>:</w:t>
      </w:r>
    </w:p>
    <w:p w:rsidR="009E5293" w:rsidRPr="006D7F9B" w:rsidRDefault="009E5293" w:rsidP="009E5293">
      <w:pPr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ab/>
      </w:r>
    </w:p>
    <w:p w:rsidR="009E5293" w:rsidRPr="006D7F9B" w:rsidRDefault="009E5293" w:rsidP="009E5293">
      <w:pPr>
        <w:pStyle w:val="ListParagraph"/>
        <w:numPr>
          <w:ilvl w:val="0"/>
          <w:numId w:val="5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Bidder must have minimum 3 years of experience in providing relevant equipment and associated services. For services: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ind w:left="810"/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Rod Running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Sucker Rod Pumps (SRP) - Maintenance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Completion &amp; Well Services Supervisor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Completion Fluids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Heater String Spooler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Tubing Conveyed Perforating (TCP) &amp; Associated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Thread Cutting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Tubing Running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Workover Fishing Tools -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Hydrofrac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Sand Management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Caravan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Coiled Tubing Unit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Down Hole Video Camera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Eline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Flowback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Heating Unit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Noise logging tool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Pumping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Scrapping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Sea Fastening and Removal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Slickline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Surface Well Testing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Thru-tubing fishing &amp; milling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Tractor &amp; Stroker Services</w:t>
      </w:r>
    </w:p>
    <w:p w:rsidR="009E5293" w:rsidRPr="006D7F9B" w:rsidRDefault="009E5293" w:rsidP="009E5293">
      <w:pPr>
        <w:pStyle w:val="ListParagraph"/>
        <w:numPr>
          <w:ilvl w:val="0"/>
          <w:numId w:val="6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Wellhead Maintenance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ind w:left="1380"/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5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Bidder must have minimum 3 years of experience of providing mentioned equipment &amp; associated services. For supply of:</w:t>
      </w:r>
    </w:p>
    <w:p w:rsidR="009E5293" w:rsidRPr="006D7F9B" w:rsidRDefault="009E5293" w:rsidP="009E5293">
      <w:pPr>
        <w:tabs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Fluid Level Analyser (FLA) &amp; Dynamometer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Sucker Rod Pumps (SRP) - Conventional Surface Equipment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Sucker Rod Pumps (SRP) - Unconventional Surface Equipment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Standalone Jet Pump System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Chokes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Coiled Tubing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Completion Equipment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Profile Plug &amp; Prongs - Supply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Boronized Tubing - Supply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Bridge Plugs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Inflatable Plugs – Coiled Tubing Conveyed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Inflatable Plugs - Eline Conveyed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Isolation Patch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Slickline conveyed NPR plugs – Supply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Surface equipment for Progressive Cavity Pumps (PCP)-Supply and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Supply of Soap Stick, Foam Stick, Gas Stick, Acid sticks and its associated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Supply of Oil Country Tubular Goods</w:t>
      </w:r>
      <w:r w:rsidR="006D7F9B">
        <w:rPr>
          <w:rFonts w:ascii="Cambria" w:hAnsi="Cambria" w:cstheme="majorHAnsi"/>
          <w:sz w:val="22"/>
          <w:szCs w:val="20"/>
        </w:rPr>
        <w:t xml:space="preserve"> </w:t>
      </w:r>
      <w:r w:rsidRPr="006D7F9B">
        <w:rPr>
          <w:rFonts w:ascii="Cambria" w:hAnsi="Cambria" w:cstheme="majorHAnsi"/>
          <w:sz w:val="22"/>
          <w:szCs w:val="20"/>
        </w:rPr>
        <w:t>(OCTG)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Thru-Tubing Straddle Packer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Lined Tubing – Supply</w:t>
      </w:r>
    </w:p>
    <w:p w:rsidR="009E5293" w:rsidRPr="006D7F9B" w:rsidRDefault="009E5293" w:rsidP="009E5293">
      <w:pPr>
        <w:pStyle w:val="ListParagraph"/>
        <w:numPr>
          <w:ilvl w:val="0"/>
          <w:numId w:val="7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Blow Out Preventer - Supply</w:t>
      </w:r>
    </w:p>
    <w:p w:rsidR="009E5293" w:rsidRPr="006D7F9B" w:rsidRDefault="009E5293" w:rsidP="009E5293">
      <w:pPr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5"/>
        </w:numPr>
        <w:tabs>
          <w:tab w:val="left" w:pos="450"/>
          <w:tab w:val="left" w:pos="630"/>
          <w:tab w:val="left" w:pos="72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 xml:space="preserve">   Bidder must have minimum 3 years of experience of providing mentioned equipment &amp; associated services. Bidders must also have experience in design, engineering &amp; manufacturing capability of relevant downhole pump or equipment.  For Supply of:</w:t>
      </w:r>
    </w:p>
    <w:p w:rsidR="009E5293" w:rsidRPr="006D7F9B" w:rsidRDefault="009E5293" w:rsidP="009E5293">
      <w:pPr>
        <w:tabs>
          <w:tab w:val="left" w:pos="450"/>
          <w:tab w:val="left" w:pos="630"/>
          <w:tab w:val="left" w:pos="720"/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  <w:r w:rsidRPr="006D7F9B">
        <w:rPr>
          <w:rFonts w:ascii="Cambria" w:hAnsi="Cambria" w:cstheme="majorHAnsi"/>
          <w:szCs w:val="20"/>
        </w:rPr>
        <w:t xml:space="preserve">                    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Electrical Submersible Pumps</w:t>
      </w:r>
      <w:r w:rsidR="006D7F9B">
        <w:rPr>
          <w:rFonts w:ascii="Cambria" w:hAnsi="Cambria" w:cstheme="majorHAnsi"/>
          <w:sz w:val="22"/>
          <w:szCs w:val="20"/>
        </w:rPr>
        <w:t xml:space="preserve"> </w:t>
      </w:r>
      <w:r w:rsidRPr="006D7F9B">
        <w:rPr>
          <w:rFonts w:ascii="Cambria" w:hAnsi="Cambria" w:cstheme="majorHAnsi"/>
          <w:sz w:val="22"/>
          <w:szCs w:val="20"/>
        </w:rPr>
        <w:t>(ESP) - Supply &amp; Service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Gas Lift valves - Supply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Insert Progressive Cavity Pumps</w:t>
      </w:r>
      <w:r w:rsidR="006D7F9B">
        <w:rPr>
          <w:rFonts w:ascii="Cambria" w:hAnsi="Cambria" w:cstheme="majorHAnsi"/>
          <w:sz w:val="22"/>
          <w:szCs w:val="20"/>
        </w:rPr>
        <w:t xml:space="preserve"> </w:t>
      </w:r>
      <w:r w:rsidRPr="006D7F9B">
        <w:rPr>
          <w:rFonts w:ascii="Cambria" w:hAnsi="Cambria" w:cstheme="majorHAnsi"/>
          <w:sz w:val="22"/>
          <w:szCs w:val="20"/>
        </w:rPr>
        <w:t>(IPCP) - Supply &amp; Services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Jet Pump - Supply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Progressive Cavity Pumps (PCP) - Supply &amp; Service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Sucker Rod Pumps (SRP) - Downhole Equipment</w:t>
      </w:r>
    </w:p>
    <w:p w:rsidR="009E5293" w:rsidRPr="006D7F9B" w:rsidRDefault="009E5293" w:rsidP="009E5293">
      <w:pPr>
        <w:pStyle w:val="ListParagraph"/>
        <w:numPr>
          <w:ilvl w:val="0"/>
          <w:numId w:val="8"/>
        </w:numPr>
        <w:tabs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 xml:space="preserve">Sucker &amp; Drive Rods - Supply             </w:t>
      </w:r>
    </w:p>
    <w:p w:rsidR="009E5293" w:rsidRPr="006D7F9B" w:rsidRDefault="009E5293" w:rsidP="009E5293">
      <w:pPr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Bidder must have minimum 5 years of experience in manufacturing &amp; supplying relevant chemical/proppant (as per applicability) for drilling, completion, well services, stimulations &amp; fracturing for oil &amp; gas application. For supply of:</w:t>
      </w:r>
    </w:p>
    <w:p w:rsidR="009E5293" w:rsidRPr="006D7F9B" w:rsidRDefault="009E5293" w:rsidP="009E5293">
      <w:pPr>
        <w:pStyle w:val="ListParagraph"/>
        <w:tabs>
          <w:tab w:val="left" w:pos="450"/>
          <w:tab w:val="left" w:pos="810"/>
          <w:tab w:val="right" w:pos="9185"/>
          <w:tab w:val="right" w:pos="9214"/>
        </w:tabs>
        <w:ind w:left="810"/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9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Proppant - Supply</w:t>
      </w:r>
    </w:p>
    <w:p w:rsidR="009E5293" w:rsidRPr="006D7F9B" w:rsidRDefault="009E5293" w:rsidP="009E5293">
      <w:pPr>
        <w:pStyle w:val="ListParagraph"/>
        <w:numPr>
          <w:ilvl w:val="0"/>
          <w:numId w:val="9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Cement Dumping &amp; Squeeze services</w:t>
      </w:r>
    </w:p>
    <w:p w:rsidR="009E5293" w:rsidRPr="006D7F9B" w:rsidRDefault="009E5293" w:rsidP="009E5293">
      <w:pPr>
        <w:pStyle w:val="ListParagraph"/>
        <w:numPr>
          <w:ilvl w:val="0"/>
          <w:numId w:val="9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Chemical solution for Water Shut-off jobs</w:t>
      </w:r>
    </w:p>
    <w:p w:rsidR="009E5293" w:rsidRPr="006D7F9B" w:rsidRDefault="009E5293" w:rsidP="009E5293">
      <w:pPr>
        <w:pStyle w:val="ListParagraph"/>
        <w:numPr>
          <w:ilvl w:val="0"/>
          <w:numId w:val="9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Chemicals for stimulation, workover &amp; fracturing</w:t>
      </w:r>
    </w:p>
    <w:p w:rsidR="009E5293" w:rsidRPr="006D7F9B" w:rsidRDefault="009E5293" w:rsidP="009E5293">
      <w:pPr>
        <w:tabs>
          <w:tab w:val="left" w:pos="450"/>
          <w:tab w:val="left" w:pos="810"/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Bidder must have minimum 3 years of experience in providing similar services to various oil and gas operators.</w:t>
      </w:r>
    </w:p>
    <w:p w:rsidR="009E5293" w:rsidRPr="006D7F9B" w:rsidRDefault="009E5293" w:rsidP="009E5293">
      <w:pPr>
        <w:tabs>
          <w:tab w:val="left" w:pos="450"/>
          <w:tab w:val="left" w:pos="810"/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1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Production Engineering Data Analytics &amp; Automation</w:t>
      </w:r>
    </w:p>
    <w:p w:rsidR="009E5293" w:rsidRPr="006D7F9B" w:rsidRDefault="009E5293" w:rsidP="009E5293">
      <w:pPr>
        <w:pStyle w:val="ListParagraph"/>
        <w:numPr>
          <w:ilvl w:val="0"/>
          <w:numId w:val="11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Production Engineering Software</w:t>
      </w:r>
    </w:p>
    <w:p w:rsidR="009E5293" w:rsidRPr="006D7F9B" w:rsidRDefault="009E5293" w:rsidP="009E5293">
      <w:pPr>
        <w:pStyle w:val="ListParagraph"/>
        <w:tabs>
          <w:tab w:val="left" w:pos="450"/>
          <w:tab w:val="left" w:pos="810"/>
          <w:tab w:val="right" w:pos="9185"/>
          <w:tab w:val="right" w:pos="9214"/>
        </w:tabs>
        <w:ind w:left="1530" w:hanging="90"/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Bidders must have its own laboratory to carry out the Production Technology studies.</w:t>
      </w:r>
    </w:p>
    <w:p w:rsidR="009E5293" w:rsidRPr="006D7F9B" w:rsidRDefault="009E5293" w:rsidP="009E5293">
      <w:pPr>
        <w:tabs>
          <w:tab w:val="left" w:pos="450"/>
          <w:tab w:val="left" w:pos="810"/>
          <w:tab w:val="right" w:pos="9185"/>
          <w:tab w:val="right" w:pos="9214"/>
        </w:tabs>
        <w:jc w:val="both"/>
        <w:rPr>
          <w:rFonts w:ascii="Cambria" w:hAnsi="Cambria" w:cstheme="majorHAnsi"/>
          <w:szCs w:val="20"/>
        </w:rPr>
      </w:pPr>
      <w:r w:rsidRPr="006D7F9B">
        <w:rPr>
          <w:rFonts w:ascii="Cambria" w:hAnsi="Cambria" w:cstheme="majorHAnsi"/>
          <w:szCs w:val="20"/>
        </w:rPr>
        <w:t xml:space="preserve"> </w:t>
      </w:r>
    </w:p>
    <w:p w:rsidR="009E5293" w:rsidRPr="006D7F9B" w:rsidRDefault="009E5293" w:rsidP="009E5293">
      <w:pPr>
        <w:pStyle w:val="ListParagraph"/>
        <w:numPr>
          <w:ilvl w:val="0"/>
          <w:numId w:val="10"/>
        </w:numPr>
        <w:tabs>
          <w:tab w:val="left" w:pos="450"/>
          <w:tab w:val="left" w:pos="810"/>
          <w:tab w:val="right" w:pos="9185"/>
          <w:tab w:val="right" w:pos="9214"/>
        </w:tabs>
        <w:spacing w:after="0" w:line="240" w:lineRule="auto"/>
        <w:ind w:left="1710" w:hanging="450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Production Technology Studies</w:t>
      </w:r>
    </w:p>
    <w:p w:rsidR="009E5293" w:rsidRPr="006D7F9B" w:rsidRDefault="009E5293" w:rsidP="009E5293">
      <w:pPr>
        <w:rPr>
          <w:rFonts w:ascii="Cambria" w:hAnsi="Cambria" w:cstheme="majorHAnsi"/>
          <w:szCs w:val="20"/>
        </w:rPr>
      </w:pPr>
    </w:p>
    <w:p w:rsidR="009E5293" w:rsidRPr="006D7F9B" w:rsidRDefault="009E5293" w:rsidP="009E5293">
      <w:pPr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The Company reserves the right to bundle two or more services (or supplies) listed above. In such case, bidders must have minimum 3 years of experience in providing the bundled services.</w:t>
      </w:r>
    </w:p>
    <w:p w:rsidR="009E5293" w:rsidRPr="006D7F9B" w:rsidRDefault="009E5293" w:rsidP="009E5293">
      <w:pPr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The interested suppliers should evince interest to participate in the Expression of Interest by clicking on the </w:t>
      </w:r>
      <w:r w:rsidRPr="006D7F9B">
        <w:rPr>
          <w:rFonts w:ascii="Cambria" w:hAnsi="Cambria" w:cstheme="majorHAnsi"/>
          <w:b/>
          <w:color w:val="auto"/>
          <w:szCs w:val="20"/>
        </w:rPr>
        <w:t>“Evince Interest” link</w:t>
      </w:r>
      <w:r w:rsidRPr="006D7F9B">
        <w:rPr>
          <w:rFonts w:ascii="Cambria" w:hAnsi="Cambria" w:cstheme="majorHAnsi"/>
          <w:color w:val="auto"/>
          <w:szCs w:val="20"/>
        </w:rPr>
        <w:t xml:space="preserve"> against the corresponding EoI listing on the Cairn website i.e. http://www.cairnindia.com and submit their contact details online. Further to this, interested suppliers/ contractors would be invited to submit their response via Smart Source (Cairn’s e Sourcing Platform). The suppliers/contractors would be requested, as a minimum, to submit the following documents and details at an appropriate stage:</w:t>
      </w:r>
    </w:p>
    <w:p w:rsidR="009E5293" w:rsidRPr="006D7F9B" w:rsidRDefault="009E5293" w:rsidP="009E5293">
      <w:pPr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Letter of interest clearly indicating the Project references.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  <w:lang w:bidi="hi"/>
        </w:rPr>
        <w:t>Company's financial performance documents (Audited Balance sheets and Profit and Loss statements, Auditors Report and Notes to Accounts etc.) for last 2 (two) years. Latest financial statement should not be older than 12 months on the date of submission of response to Expression of interest.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 xml:space="preserve">Detailed Company Information with Organisation structure, List of manpower with CVs of key Personnel, Plant and Machinery list mentioning year of manufacturing, Support agencies and other facilities &amp; resources. 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Details of completion of similar type of projects in the last five years under headings:</w:t>
      </w:r>
      <w:r w:rsidRPr="006D7F9B">
        <w:rPr>
          <w:rFonts w:ascii="Cambria" w:hAnsi="Cambria" w:cstheme="majorHAnsi"/>
          <w:sz w:val="22"/>
          <w:szCs w:val="20"/>
        </w:rPr>
        <w:tab/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Brief scope of work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Value of work in INR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Contractual Duration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Actual completion of Project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Clients name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Contact details of the Client ( Cairn may approach the client directly for the feedback)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 xml:space="preserve">Safety Certification / Inspection of plant and machineries </w:t>
      </w:r>
    </w:p>
    <w:p w:rsidR="009E5293" w:rsidRPr="006D7F9B" w:rsidRDefault="009E5293" w:rsidP="009E5293">
      <w:pPr>
        <w:numPr>
          <w:ilvl w:val="1"/>
          <w:numId w:val="12"/>
        </w:numPr>
        <w:tabs>
          <w:tab w:val="left" w:pos="1701"/>
          <w:tab w:val="right" w:pos="9185"/>
          <w:tab w:val="right" w:pos="9214"/>
        </w:tabs>
        <w:ind w:hanging="990"/>
        <w:jc w:val="both"/>
        <w:rPr>
          <w:rFonts w:ascii="Cambria" w:hAnsi="Cambria" w:cstheme="majorHAnsi"/>
          <w:color w:val="auto"/>
          <w:szCs w:val="20"/>
        </w:rPr>
      </w:pPr>
      <w:r w:rsidRPr="006D7F9B">
        <w:rPr>
          <w:rFonts w:ascii="Cambria" w:hAnsi="Cambria" w:cstheme="majorHAnsi"/>
          <w:color w:val="auto"/>
          <w:szCs w:val="20"/>
        </w:rPr>
        <w:t>HSE statistics, LTI graph etc.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 xml:space="preserve">Typical Project Planning and Execution methodology. 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List of all jobs under execution with the value of the Job and percentage completion. (With particular Emphasis on project of similar magnitude carried out in Oil and Gas Sector)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Experience of working in similar terrain and remote areas.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HSE policy and implementation procedures in line with internationally accepted practices with statistics for last four years.</w:t>
      </w:r>
    </w:p>
    <w:p w:rsidR="009E5293" w:rsidRPr="006D7F9B" w:rsidRDefault="009E5293" w:rsidP="009E5293">
      <w:pPr>
        <w:pStyle w:val="ListParagraph"/>
        <w:tabs>
          <w:tab w:val="left" w:pos="450"/>
          <w:tab w:val="right" w:pos="9185"/>
          <w:tab w:val="right" w:pos="9214"/>
        </w:tabs>
        <w:jc w:val="both"/>
        <w:rPr>
          <w:rFonts w:ascii="Cambria" w:hAnsi="Cambria" w:cstheme="majorHAnsi"/>
          <w:sz w:val="22"/>
          <w:szCs w:val="20"/>
        </w:rPr>
      </w:pPr>
    </w:p>
    <w:p w:rsidR="009E5293" w:rsidRPr="006D7F9B" w:rsidRDefault="009E5293" w:rsidP="009E5293">
      <w:pPr>
        <w:pStyle w:val="ListParagraph"/>
        <w:numPr>
          <w:ilvl w:val="0"/>
          <w:numId w:val="13"/>
        </w:numPr>
        <w:tabs>
          <w:tab w:val="left" w:pos="450"/>
          <w:tab w:val="right" w:pos="9185"/>
          <w:tab w:val="right" w:pos="9214"/>
        </w:tabs>
        <w:spacing w:after="0" w:line="240" w:lineRule="auto"/>
        <w:contextualSpacing w:val="0"/>
        <w:jc w:val="both"/>
        <w:rPr>
          <w:rFonts w:ascii="Cambria" w:hAnsi="Cambria" w:cstheme="majorHAnsi"/>
          <w:sz w:val="22"/>
          <w:szCs w:val="20"/>
        </w:rPr>
      </w:pPr>
      <w:r w:rsidRPr="006D7F9B">
        <w:rPr>
          <w:rFonts w:ascii="Cambria" w:hAnsi="Cambria" w:cstheme="majorHAnsi"/>
          <w:sz w:val="22"/>
          <w:szCs w:val="20"/>
        </w:rPr>
        <w:t>Quality assurance &amp; Quality control practices currently in place for the execution of similar work/services.</w:t>
      </w:r>
    </w:p>
    <w:p w:rsidR="009E5293" w:rsidRPr="006D7F9B" w:rsidRDefault="009E5293" w:rsidP="009E5293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="Cambria" w:hAnsi="Cambria" w:cstheme="majorHAnsi"/>
          <w:color w:val="auto"/>
          <w:szCs w:val="20"/>
        </w:rPr>
      </w:pPr>
    </w:p>
    <w:p w:rsidR="009E5293" w:rsidRPr="006D7F9B" w:rsidRDefault="009E5293" w:rsidP="009E5293">
      <w:pPr>
        <w:pBdr>
          <w:bottom w:val="single" w:sz="6" w:space="1" w:color="auto"/>
        </w:pBdr>
        <w:jc w:val="both"/>
        <w:rPr>
          <w:rFonts w:ascii="Cambria" w:hAnsi="Cambria" w:cstheme="majorHAnsi"/>
          <w:b/>
          <w:i/>
          <w:color w:val="auto"/>
          <w:szCs w:val="20"/>
        </w:rPr>
      </w:pPr>
      <w:r w:rsidRPr="006D7F9B">
        <w:rPr>
          <w:rFonts w:ascii="Cambria" w:hAnsi="Cambria" w:cstheme="majorHAnsi"/>
          <w:b/>
          <w:color w:val="auto"/>
          <w:szCs w:val="20"/>
        </w:rPr>
        <w:t>The interested suppliers should “</w:t>
      </w:r>
      <w:r w:rsidRPr="006D7F9B">
        <w:rPr>
          <w:rFonts w:ascii="Cambria" w:hAnsi="Cambria" w:cstheme="majorHAnsi"/>
          <w:b/>
          <w:color w:val="2F5496" w:themeColor="accent1" w:themeShade="BF"/>
          <w:szCs w:val="20"/>
        </w:rPr>
        <w:t xml:space="preserve">Evince interest” </w:t>
      </w:r>
      <w:r w:rsidRPr="006D7F9B">
        <w:rPr>
          <w:rFonts w:ascii="Cambria" w:hAnsi="Cambria" w:cstheme="majorHAnsi"/>
          <w:b/>
          <w:color w:val="auto"/>
          <w:szCs w:val="20"/>
        </w:rPr>
        <w:t xml:space="preserve">to participate in EoI within 14(fourteen) days of publication of </w:t>
      </w:r>
      <w:r w:rsidRPr="006D7F9B">
        <w:rPr>
          <w:rFonts w:ascii="Cambria" w:hAnsi="Cambria" w:cstheme="majorHAnsi"/>
          <w:b/>
          <w:color w:val="2F5496" w:themeColor="accent1" w:themeShade="BF"/>
          <w:szCs w:val="20"/>
        </w:rPr>
        <w:t>Expression of Interest</w:t>
      </w:r>
      <w:r w:rsidRPr="006D7F9B">
        <w:rPr>
          <w:rFonts w:ascii="Cambria" w:hAnsi="Cambria" w:cstheme="majorHAnsi"/>
          <w:b/>
          <w:color w:val="auto"/>
          <w:szCs w:val="20"/>
        </w:rPr>
        <w:t>.</w:t>
      </w:r>
    </w:p>
    <w:p w:rsidR="00CD1B39" w:rsidRPr="006D7F9B" w:rsidRDefault="00CD1B39" w:rsidP="00CD1B39">
      <w:pPr>
        <w:ind w:left="360"/>
        <w:jc w:val="both"/>
        <w:rPr>
          <w:rFonts w:ascii="Cambria" w:eastAsiaTheme="minorHAnsi" w:hAnsi="Cambria" w:cstheme="majorHAnsi"/>
          <w:color w:val="auto"/>
          <w:szCs w:val="20"/>
          <w:lang w:val="en-IN"/>
        </w:rPr>
      </w:pPr>
    </w:p>
    <w:p w:rsidR="006075CE" w:rsidRPr="006D7F9B" w:rsidRDefault="00312057">
      <w:pPr>
        <w:rPr>
          <w:rFonts w:ascii="Cambria" w:hAnsi="Cambria" w:cstheme="majorHAnsi"/>
          <w:szCs w:val="20"/>
        </w:rPr>
      </w:pPr>
      <w:r>
        <w:rPr>
          <w:rFonts w:ascii="Cambria" w:eastAsiaTheme="minorHAnsi" w:hAnsi="Cambria" w:cs="Arial"/>
          <w:b/>
          <w:color w:val="auto"/>
          <w:sz w:val="24"/>
          <w:szCs w:val="22"/>
          <w:lang w:val="en-IN"/>
        </w:rPr>
        <w:t xml:space="preserve">In case of any issue faced by the vendor during the evincing of interest please contact </w:t>
      </w:r>
      <w:hyperlink r:id="rId10" w:history="1">
        <w:r>
          <w:rPr>
            <w:rStyle w:val="Hyperlink"/>
            <w:rFonts w:ascii="Cambria" w:hAnsi="Cambria"/>
            <w:b/>
            <w:color w:val="auto"/>
            <w:sz w:val="24"/>
          </w:rPr>
          <w:t>Manjushree.Samanta@cairnindia.com</w:t>
        </w:r>
      </w:hyperlink>
      <w:r>
        <w:rPr>
          <w:rFonts w:ascii="Cambria" w:hAnsi="Cambria"/>
          <w:b/>
          <w:color w:val="auto"/>
          <w:sz w:val="24"/>
        </w:rPr>
        <w:t xml:space="preserve"> / 0120-6664407</w:t>
      </w:r>
      <w:bookmarkStart w:id="1" w:name="_GoBack"/>
      <w:bookmarkEnd w:id="1"/>
    </w:p>
    <w:sectPr w:rsidR="006075CE" w:rsidRPr="006D7F9B" w:rsidSect="00FE4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900" w:bottom="720" w:left="810" w:header="720" w:footer="5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42" w:rsidRDefault="00B47042" w:rsidP="00CD1B39">
      <w:r>
        <w:separator/>
      </w:r>
    </w:p>
  </w:endnote>
  <w:endnote w:type="continuationSeparator" w:id="0">
    <w:p w:rsidR="00B47042" w:rsidRDefault="00B47042" w:rsidP="00CD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57" w:rsidRDefault="00312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53" w:rsidRPr="00846AE8" w:rsidRDefault="00312057">
    <w:pPr>
      <w:pStyle w:val="Footer"/>
      <w:rPr>
        <w:color w:val="auto"/>
        <w:lang w:val="nb-NO"/>
      </w:rPr>
    </w:pPr>
    <w:r>
      <w:rPr>
        <w:noProof/>
        <w:color w:val="auto"/>
        <w:sz w:val="16"/>
        <w:lang w:val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7b434f34b6bfddf6cb41a3cc" descr="{&quot;HashCode&quot;:11560760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12057" w:rsidRPr="00312057" w:rsidRDefault="00312057" w:rsidP="0031205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205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Internal (C3)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b434f34b6bfddf6cb41a3cc" o:spid="_x0000_s1026" type="#_x0000_t202" alt="{&quot;HashCode&quot;:11560760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F0ZcNQWAwAANgYAAA4AAAAAAAAAAAAAAAAALgIA&#10;AGRycy9lMm9Eb2MueG1sUEsBAi0AFAAGAAgAAAAhAFjjpDzcAAAAC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:rsidR="00312057" w:rsidRPr="00312057" w:rsidRDefault="00312057" w:rsidP="0031205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2057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Internal (C3)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09E1" w:rsidRPr="00846AE8">
      <w:rPr>
        <w:color w:val="auto"/>
        <w:sz w:val="16"/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57" w:rsidRDefault="0031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42" w:rsidRDefault="00B47042" w:rsidP="00CD1B39">
      <w:r>
        <w:separator/>
      </w:r>
    </w:p>
  </w:footnote>
  <w:footnote w:type="continuationSeparator" w:id="0">
    <w:p w:rsidR="00B47042" w:rsidRDefault="00B47042" w:rsidP="00CD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57" w:rsidRDefault="00312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39" w:rsidRPr="00671072" w:rsidRDefault="00CD1B39" w:rsidP="00CD1B39">
    <w:pPr>
      <w:spacing w:before="120" w:after="20"/>
      <w:rPr>
        <w:rFonts w:asciiTheme="majorHAnsi" w:hAnsiTheme="majorHAnsi" w:cs="Arial"/>
        <w:b/>
        <w:color w:val="auto"/>
        <w:szCs w:val="22"/>
      </w:rPr>
    </w:pPr>
    <w:r>
      <w:rPr>
        <w:rFonts w:asciiTheme="majorHAnsi" w:hAnsiTheme="majorHAnsi"/>
        <w:noProof/>
        <w:szCs w:val="22"/>
        <w:lang w:val="en-US"/>
      </w:rPr>
      <w:drawing>
        <wp:inline distT="0" distB="0" distL="0" distR="0" wp14:anchorId="14A9ECA5" wp14:editId="55E8424B">
          <wp:extent cx="2028825" cy="6516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dant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468" cy="66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noProof/>
        <w:szCs w:val="22"/>
        <w:lang w:val="en-US"/>
      </w:rPr>
      <w:t xml:space="preserve">                                                                                                         </w:t>
    </w:r>
    <w:r w:rsidRPr="00671072">
      <w:rPr>
        <w:rFonts w:asciiTheme="majorHAnsi" w:hAnsiTheme="majorHAnsi"/>
        <w:noProof/>
        <w:szCs w:val="22"/>
        <w:lang w:val="en-US"/>
      </w:rPr>
      <w:drawing>
        <wp:inline distT="0" distB="0" distL="0" distR="0" wp14:anchorId="4A44149B" wp14:editId="30D76496">
          <wp:extent cx="913912" cy="435196"/>
          <wp:effectExtent l="0" t="0" r="635" b="3175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63" cy="445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1B39" w:rsidRDefault="00CD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57" w:rsidRDefault="0031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CB7"/>
    <w:multiLevelType w:val="hybridMultilevel"/>
    <w:tmpl w:val="6E040EDE"/>
    <w:lvl w:ilvl="0" w:tplc="0409001B">
      <w:start w:val="1"/>
      <w:numFmt w:val="lowerRoman"/>
      <w:lvlText w:val="%1."/>
      <w:lvlJc w:val="righ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AC5647E"/>
    <w:multiLevelType w:val="hybridMultilevel"/>
    <w:tmpl w:val="72BC087A"/>
    <w:lvl w:ilvl="0" w:tplc="BF0EE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72D"/>
    <w:multiLevelType w:val="hybridMultilevel"/>
    <w:tmpl w:val="D1B8196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7C05E1C"/>
    <w:multiLevelType w:val="hybridMultilevel"/>
    <w:tmpl w:val="297E2D72"/>
    <w:lvl w:ilvl="0" w:tplc="0409001B">
      <w:start w:val="1"/>
      <w:numFmt w:val="lowerRoman"/>
      <w:lvlText w:val="%1."/>
      <w:lvlJc w:val="righ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E9D3632"/>
    <w:multiLevelType w:val="hybridMultilevel"/>
    <w:tmpl w:val="9E14F2FC"/>
    <w:lvl w:ilvl="0" w:tplc="87CC3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0F52"/>
    <w:multiLevelType w:val="hybridMultilevel"/>
    <w:tmpl w:val="B1CEB0A4"/>
    <w:lvl w:ilvl="0" w:tplc="11E014F0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7B7ED4"/>
    <w:multiLevelType w:val="hybridMultilevel"/>
    <w:tmpl w:val="C8DC474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639A0"/>
    <w:multiLevelType w:val="hybridMultilevel"/>
    <w:tmpl w:val="0A84DF88"/>
    <w:lvl w:ilvl="0" w:tplc="0409001B">
      <w:start w:val="1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23F3494"/>
    <w:multiLevelType w:val="hybridMultilevel"/>
    <w:tmpl w:val="04C2EB86"/>
    <w:lvl w:ilvl="0" w:tplc="0409001B">
      <w:start w:val="1"/>
      <w:numFmt w:val="lowerRoman"/>
      <w:lvlText w:val="%1."/>
      <w:lvlJc w:val="righ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9" w15:restartNumberingAfterBreak="0">
    <w:nsid w:val="42CC54B6"/>
    <w:multiLevelType w:val="hybridMultilevel"/>
    <w:tmpl w:val="395E188E"/>
    <w:lvl w:ilvl="0" w:tplc="D944C0AC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C2662"/>
    <w:multiLevelType w:val="hybridMultilevel"/>
    <w:tmpl w:val="07F8082C"/>
    <w:lvl w:ilvl="0" w:tplc="3D88D98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F3814"/>
    <w:multiLevelType w:val="hybridMultilevel"/>
    <w:tmpl w:val="4E9E60F0"/>
    <w:lvl w:ilvl="0" w:tplc="0409001B">
      <w:start w:val="1"/>
      <w:numFmt w:val="lowerRoman"/>
      <w:lvlText w:val="%1."/>
      <w:lvlJc w:val="righ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6DA649D8"/>
    <w:multiLevelType w:val="hybridMultilevel"/>
    <w:tmpl w:val="B84264A0"/>
    <w:lvl w:ilvl="0" w:tplc="0409001B">
      <w:start w:val="1"/>
      <w:numFmt w:val="lowerRoman"/>
      <w:lvlText w:val="%1."/>
      <w:lvlJc w:val="righ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6DB62664"/>
    <w:multiLevelType w:val="hybridMultilevel"/>
    <w:tmpl w:val="C8A04EE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CAE"/>
    <w:multiLevelType w:val="hybridMultilevel"/>
    <w:tmpl w:val="5E9C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9"/>
    <w:rsid w:val="001F4035"/>
    <w:rsid w:val="00312057"/>
    <w:rsid w:val="003D4823"/>
    <w:rsid w:val="006075CE"/>
    <w:rsid w:val="006D7F9B"/>
    <w:rsid w:val="009E5293"/>
    <w:rsid w:val="00B47042"/>
    <w:rsid w:val="00CD1B39"/>
    <w:rsid w:val="00E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118A9-A881-4A8C-B553-85E8E76D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39"/>
    <w:pPr>
      <w:spacing w:after="0" w:line="240" w:lineRule="auto"/>
    </w:pPr>
    <w:rPr>
      <w:rFonts w:ascii="Comic Sans MS" w:eastAsia="Times New Roman" w:hAnsi="Comic Sans MS" w:cs="Times New Roman"/>
      <w:color w:val="0000FF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1B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1B39"/>
    <w:rPr>
      <w:rFonts w:ascii="Comic Sans MS" w:eastAsia="Times New Roman" w:hAnsi="Comic Sans MS" w:cs="Times New Roman"/>
      <w:color w:val="0000FF"/>
      <w:szCs w:val="24"/>
      <w:lang w:val="en-GB"/>
    </w:rPr>
  </w:style>
  <w:style w:type="character" w:styleId="Hyperlink">
    <w:name w:val="Hyperlink"/>
    <w:basedOn w:val="DefaultParagraphFont"/>
    <w:rsid w:val="00CD1B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B39"/>
    <w:pPr>
      <w:spacing w:after="200" w:line="276" w:lineRule="auto"/>
      <w:ind w:left="720"/>
      <w:contextualSpacing/>
    </w:pPr>
    <w:rPr>
      <w:rFonts w:ascii="Helvetica" w:eastAsiaTheme="minorHAnsi" w:hAnsi="Helvetica" w:cstheme="minorBidi"/>
      <w:color w:val="auto"/>
      <w:sz w:val="20"/>
      <w:szCs w:val="22"/>
      <w:lang w:val="en-IN"/>
    </w:rPr>
  </w:style>
  <w:style w:type="paragraph" w:styleId="NormalWeb">
    <w:name w:val="Normal (Web)"/>
    <w:basedOn w:val="Normal"/>
    <w:uiPriority w:val="99"/>
    <w:unhideWhenUsed/>
    <w:rsid w:val="00CD1B39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39"/>
    <w:rPr>
      <w:rFonts w:ascii="Segoe UI" w:eastAsia="Times New Roman" w:hAnsi="Segoe UI" w:cs="Segoe UI"/>
      <w:color w:val="0000F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1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B39"/>
    <w:rPr>
      <w:rFonts w:ascii="Comic Sans MS" w:eastAsia="Times New Roman" w:hAnsi="Comic Sans MS" w:cs="Times New Roman"/>
      <w:color w:val="0000FF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njushree.Samanta@cairnindi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 xmlns="6b02143d-c076-4788-b315-b1d4ff2ff2ad">2019-10-10T18:30:00+00:00</StartDate>
    <PublisherEmailID xmlns="6b02143d-c076-4788-b315-b1d4ff2ff2ad">PradeepKumar.Sharma@cairnindia.com;Punna.Spandana@cairnindia.com;Sanchari.Das@cairnindia.com</PublisherEmailID>
    <Status xmlns="6b02143d-c076-4788-b315-b1d4ff2ff2ad">Published</Status>
    <PublisherName xmlns="6b02143d-c076-4788-b315-b1d4ff2ff2ad">Pradeep Kumar Sharma;Punna Spandana;Sanchari Das</PublisherName>
    <EndDate xmlns="6b02143d-c076-4788-b315-b1d4ff2ff2ad">2019-11-22T13:30:00+00:00</EndDate>
    <EvinceInterestURL xmlns="78439af1-28f1-4ee5-8d5a-af7253c94f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067775509A64083AAF0CBF9409EB5" ma:contentTypeVersion="9" ma:contentTypeDescription="Create a new document." ma:contentTypeScope="" ma:versionID="31824ae427edcc922aa450bd95d0f1f5">
  <xsd:schema xmlns:xsd="http://www.w3.org/2001/XMLSchema" xmlns:xs="http://www.w3.org/2001/XMLSchema" xmlns:p="http://schemas.microsoft.com/office/2006/metadata/properties" xmlns:ns2="6b02143d-c076-4788-b315-b1d4ff2ff2ad" xmlns:ns3="431ab8eb-bba1-48b3-b9b1-510d4d3d807a" xmlns:ns5="78439af1-28f1-4ee5-8d5a-af7253c94f97" targetNamespace="http://schemas.microsoft.com/office/2006/metadata/properties" ma:root="true" ma:fieldsID="90ed0447cddfe0475ea0c449240ec9be" ns2:_="" ns3:_="" ns5:_="">
    <xsd:import namespace="6b02143d-c076-4788-b315-b1d4ff2ff2ad"/>
    <xsd:import namespace="431ab8eb-bba1-48b3-b9b1-510d4d3d807a"/>
    <xsd:import namespace="78439af1-28f1-4ee5-8d5a-af7253c94f97"/>
    <xsd:element name="properties">
      <xsd:complexType>
        <xsd:sequence>
          <xsd:element name="documentManagement">
            <xsd:complexType>
              <xsd:all>
                <xsd:element ref="ns2:StartDate" minOccurs="0"/>
                <xsd:element ref="ns2:EndDate" minOccurs="0"/>
                <xsd:element ref="ns3:SharedWithUsers" minOccurs="0"/>
                <xsd:element ref="ns2:PublisherEmailID" minOccurs="0"/>
                <xsd:element ref="ns2:PublisherName" minOccurs="0"/>
                <xsd:element ref="ns2:Status" minOccurs="0"/>
                <xsd:element ref="ns5:EvinceInteres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43d-c076-4788-b315-b1d4ff2ff2ad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StartDate" ma:format="DateTime" ma:internalName="StartDate">
      <xsd:simpleType>
        <xsd:restriction base="dms:DateTime"/>
      </xsd:simpleType>
    </xsd:element>
    <xsd:element name="EndDate" ma:index="9" nillable="true" ma:displayName="EndDate" ma:format="DateTime" ma:internalName="EndDate">
      <xsd:simpleType>
        <xsd:restriction base="dms:DateTime"/>
      </xsd:simpleType>
    </xsd:element>
    <xsd:element name="PublisherEmailID" ma:index="11" nillable="true" ma:displayName="PublisherEmailID" ma:internalName="PublisherEmailID">
      <xsd:simpleType>
        <xsd:restriction base="dms:Text">
          <xsd:maxLength value="255"/>
        </xsd:restriction>
      </xsd:simpleType>
    </xsd:element>
    <xsd:element name="PublisherName" ma:index="12" nillable="true" ma:displayName="PublisherName" ma:internalName="PublisherName">
      <xsd:simpleType>
        <xsd:restriction base="dms:Text">
          <xsd:maxLength value="255"/>
        </xsd:restriction>
      </xsd:simpleType>
    </xsd:element>
    <xsd:element name="Status" ma:index="13" nillable="true" ma:displayName="Status" ma:default="Published" ma:format="Dropdown" ma:internalName="Status">
      <xsd:simpleType>
        <xsd:restriction base="dms:Choice">
          <xsd:enumeration value="Publish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b8eb-bba1-48b3-b9b1-510d4d3d8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9af1-28f1-4ee5-8d5a-af7253c94f97" elementFormDefault="qualified">
    <xsd:import namespace="http://schemas.microsoft.com/office/2006/documentManagement/types"/>
    <xsd:import namespace="http://schemas.microsoft.com/office/infopath/2007/PartnerControls"/>
    <xsd:element name="EvinceInterestURL" ma:index="15" nillable="true" ma:displayName="EvinceInterestURL" ma:internalName="EvinceInterest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BC1D6-45F6-4610-8237-3604998D2FF6}"/>
</file>

<file path=customXml/itemProps2.xml><?xml version="1.0" encoding="utf-8"?>
<ds:datastoreItem xmlns:ds="http://schemas.openxmlformats.org/officeDocument/2006/customXml" ds:itemID="{EC22BEDB-BE98-4497-99D2-3A30295DD882}"/>
</file>

<file path=customXml/itemProps3.xml><?xml version="1.0" encoding="utf-8"?>
<ds:datastoreItem xmlns:ds="http://schemas.openxmlformats.org/officeDocument/2006/customXml" ds:itemID="{653ED8E7-CE33-4CD6-8F33-71E027998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EXPRESSION OF INTEREST FOR PROVISION OF VARIOUS EQUIPMENT, CHEMICALS, SOFTWARE AND SERVICES RELATED TO WELL INTERVENTION /COMPLETION/ARTIFICIAL LIFT/ FRAC/ PRODUCTION TECHNOLOGY/ WORK OVER REQUIREMENTS FOR RJ-ON-90/1, RAVVA AND CB-OS/2 BLOCK </dc:title>
  <dc:subject/>
  <dc:creator>Aarthi Kumar</dc:creator>
  <cp:keywords/>
  <dc:description/>
  <cp:lastModifiedBy>Aarthi Kumar</cp:lastModifiedBy>
  <cp:revision>5</cp:revision>
  <dcterms:created xsi:type="dcterms:W3CDTF">2019-10-10T06:06:00Z</dcterms:created>
  <dcterms:modified xsi:type="dcterms:W3CDTF">2019-10-25T08:02:00Z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18b01-d6ca-4215-a70f-0f507ff65fa4_Enabled">
    <vt:lpwstr>True</vt:lpwstr>
  </property>
  <property fmtid="{D5CDD505-2E9C-101B-9397-08002B2CF9AE}" pid="3" name="MSIP_Label_d8018b01-d6ca-4215-a70f-0f507ff65fa4_SiteId">
    <vt:lpwstr>4273e6e9-aed1-40ab-83a3-85e0d43de705</vt:lpwstr>
  </property>
  <property fmtid="{D5CDD505-2E9C-101B-9397-08002B2CF9AE}" pid="4" name="MSIP_Label_d8018b01-d6ca-4215-a70f-0f507ff65fa4_Owner">
    <vt:lpwstr>12558@cairnindia.com</vt:lpwstr>
  </property>
  <property fmtid="{D5CDD505-2E9C-101B-9397-08002B2CF9AE}" pid="5" name="MSIP_Label_d8018b01-d6ca-4215-a70f-0f507ff65fa4_SetDate">
    <vt:lpwstr>2019-10-10T06:06:09.4780270Z</vt:lpwstr>
  </property>
  <property fmtid="{D5CDD505-2E9C-101B-9397-08002B2CF9AE}" pid="6" name="MSIP_Label_d8018b01-d6ca-4215-a70f-0f507ff65fa4_Name">
    <vt:lpwstr>Internal (C3)</vt:lpwstr>
  </property>
  <property fmtid="{D5CDD505-2E9C-101B-9397-08002B2CF9AE}" pid="7" name="MSIP_Label_d8018b01-d6ca-4215-a70f-0f507ff65fa4_Application">
    <vt:lpwstr>Microsoft Azure Information Protection</vt:lpwstr>
  </property>
  <property fmtid="{D5CDD505-2E9C-101B-9397-08002B2CF9AE}" pid="8" name="MSIP_Label_d8018b01-d6ca-4215-a70f-0f507ff65fa4_ActionId">
    <vt:lpwstr>ad4330b6-4e7a-435b-a620-7897e8087225</vt:lpwstr>
  </property>
  <property fmtid="{D5CDD505-2E9C-101B-9397-08002B2CF9AE}" pid="9" name="MSIP_Label_d8018b01-d6ca-4215-a70f-0f507ff65fa4_Extended_MSFT_Method">
    <vt:lpwstr>Automatic</vt:lpwstr>
  </property>
  <property fmtid="{D5CDD505-2E9C-101B-9397-08002B2CF9AE}" pid="10" name="MSIP_Label_1a837f0f-bc33-47ca-8126-9d7bb0fbe56f_Enabled">
    <vt:lpwstr>True</vt:lpwstr>
  </property>
  <property fmtid="{D5CDD505-2E9C-101B-9397-08002B2CF9AE}" pid="11" name="MSIP_Label_1a837f0f-bc33-47ca-8126-9d7bb0fbe56f_SiteId">
    <vt:lpwstr>4273e6e9-aed1-40ab-83a3-85e0d43de705</vt:lpwstr>
  </property>
  <property fmtid="{D5CDD505-2E9C-101B-9397-08002B2CF9AE}" pid="12" name="MSIP_Label_1a837f0f-bc33-47ca-8126-9d7bb0fbe56f_Owner">
    <vt:lpwstr>12558@cairnindia.com</vt:lpwstr>
  </property>
  <property fmtid="{D5CDD505-2E9C-101B-9397-08002B2CF9AE}" pid="13" name="MSIP_Label_1a837f0f-bc33-47ca-8126-9d7bb0fbe56f_SetDate">
    <vt:lpwstr>2019-10-10T06:06:09.4780270Z</vt:lpwstr>
  </property>
  <property fmtid="{D5CDD505-2E9C-101B-9397-08002B2CF9AE}" pid="14" name="MSIP_Label_1a837f0f-bc33-47ca-8126-9d7bb0fbe56f_Name">
    <vt:lpwstr>All Employees and Partners</vt:lpwstr>
  </property>
  <property fmtid="{D5CDD505-2E9C-101B-9397-08002B2CF9AE}" pid="15" name="MSIP_Label_1a837f0f-bc33-47ca-8126-9d7bb0fbe56f_Application">
    <vt:lpwstr>Microsoft Azure Information Protection</vt:lpwstr>
  </property>
  <property fmtid="{D5CDD505-2E9C-101B-9397-08002B2CF9AE}" pid="16" name="MSIP_Label_1a837f0f-bc33-47ca-8126-9d7bb0fbe56f_ActionId">
    <vt:lpwstr>ad4330b6-4e7a-435b-a620-7897e8087225</vt:lpwstr>
  </property>
  <property fmtid="{D5CDD505-2E9C-101B-9397-08002B2CF9AE}" pid="17" name="MSIP_Label_1a837f0f-bc33-47ca-8126-9d7bb0fbe56f_Parent">
    <vt:lpwstr>d8018b01-d6ca-4215-a70f-0f507ff65fa4</vt:lpwstr>
  </property>
  <property fmtid="{D5CDD505-2E9C-101B-9397-08002B2CF9AE}" pid="18" name="MSIP_Label_1a837f0f-bc33-47ca-8126-9d7bb0fbe56f_Extended_MSFT_Method">
    <vt:lpwstr>Automatic</vt:lpwstr>
  </property>
  <property fmtid="{D5CDD505-2E9C-101B-9397-08002B2CF9AE}" pid="19" name="Sensitivity">
    <vt:lpwstr>Internal (C3) All Employees and Partners</vt:lpwstr>
  </property>
  <property fmtid="{D5CDD505-2E9C-101B-9397-08002B2CF9AE}" pid="20" name="ContentTypeId">
    <vt:lpwstr>0x010100AB3067775509A64083AAF0CBF9409EB5</vt:lpwstr>
  </property>
</Properties>
</file>